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550E" w14:textId="3D4F504E" w:rsidR="009113A7" w:rsidRDefault="00D81EDE">
      <w:r w:rsidRPr="00D81EDE">
        <w:rPr>
          <w:noProof/>
        </w:rPr>
        <w:drawing>
          <wp:inline distT="0" distB="0" distL="0" distR="0" wp14:anchorId="26C89DC6" wp14:editId="79597BCF">
            <wp:extent cx="2448267" cy="1105054"/>
            <wp:effectExtent l="0" t="0" r="9525" b="0"/>
            <wp:docPr id="195521936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19367" name=""/>
                    <pic:cNvPicPr/>
                  </pic:nvPicPr>
                  <pic:blipFill>
                    <a:blip r:embed="rId7"/>
                    <a:stretch>
                      <a:fillRect/>
                    </a:stretch>
                  </pic:blipFill>
                  <pic:spPr>
                    <a:xfrm>
                      <a:off x="0" y="0"/>
                      <a:ext cx="2448267" cy="1105054"/>
                    </a:xfrm>
                    <a:prstGeom prst="rect">
                      <a:avLst/>
                    </a:prstGeom>
                  </pic:spPr>
                </pic:pic>
              </a:graphicData>
            </a:graphic>
          </wp:inline>
        </w:drawing>
      </w:r>
    </w:p>
    <w:p w14:paraId="1DF1704A" w14:textId="77777777" w:rsidR="00D81EDE" w:rsidRDefault="00D81EDE"/>
    <w:p w14:paraId="4F5791EF" w14:textId="77777777" w:rsidR="00D81EDE" w:rsidRDefault="00D81EDE"/>
    <w:p w14:paraId="585649FA" w14:textId="39FC44D1" w:rsidR="00D81EDE" w:rsidRDefault="00D81EDE" w:rsidP="00D81EDE">
      <w:pPr>
        <w:pStyle w:val="Tittel"/>
      </w:pPr>
      <w:r>
        <w:t>Høringsnotat</w:t>
      </w:r>
    </w:p>
    <w:p w14:paraId="0B27C502" w14:textId="77777777" w:rsidR="00D81EDE" w:rsidRDefault="00D81EDE"/>
    <w:p w14:paraId="745EC1BE" w14:textId="46E436FE" w:rsidR="00D81EDE" w:rsidRDefault="00D81EDE">
      <w:r>
        <w:t>Til: Høringsinstanser</w:t>
      </w:r>
    </w:p>
    <w:p w14:paraId="1F31A0D8" w14:textId="0DBCBAD4" w:rsidR="00D81EDE" w:rsidRDefault="00D81EDE">
      <w:r>
        <w:t>Fra: Flekkefjord kommune</w:t>
      </w:r>
    </w:p>
    <w:p w14:paraId="76D129E0" w14:textId="2C833176" w:rsidR="00D81EDE" w:rsidRDefault="00D81EDE">
      <w:r>
        <w:t>Saksbehandlere: Kjetil Presterud, brann og redning, Antonie Halvorsen Egeland samfunn og teknikk</w:t>
      </w:r>
    </w:p>
    <w:p w14:paraId="133DF1F7" w14:textId="6DB89BB1" w:rsidR="00D81EDE" w:rsidRDefault="00D81EDE">
      <w:r>
        <w:t xml:space="preserve">Dato: </w:t>
      </w:r>
      <w:r w:rsidR="000A036B">
        <w:t>19.05.2026</w:t>
      </w:r>
    </w:p>
    <w:p w14:paraId="7980FBE7" w14:textId="77777777" w:rsidR="00D81EDE" w:rsidRDefault="00D81EDE">
      <w:pPr>
        <w:pBdr>
          <w:bottom w:val="single" w:sz="12" w:space="1" w:color="auto"/>
        </w:pBdr>
      </w:pPr>
    </w:p>
    <w:p w14:paraId="2B720E9B" w14:textId="77777777" w:rsidR="00D81EDE" w:rsidRDefault="00D81EDE"/>
    <w:p w14:paraId="7EC7C744" w14:textId="77777777" w:rsidR="00D81EDE" w:rsidRPr="006749F2" w:rsidRDefault="00000000" w:rsidP="00D81EDE">
      <w:pPr>
        <w:pStyle w:val="Tittel"/>
      </w:pPr>
      <w:sdt>
        <w:sdtPr>
          <w:rPr>
            <w:b/>
            <w:bCs/>
            <w:sz w:val="28"/>
            <w:szCs w:val="28"/>
          </w:rPr>
          <w:tag w:val="UnofficialTitle"/>
          <w:id w:val="10010"/>
          <w:placeholder>
            <w:docPart w:val="CAA9CD8121814973B10ED6C40AB3B0DC"/>
          </w:placeholder>
          <w:dataBinding w:prefixMappings="xmlns:gbs='http://www.software-innovation.no/growBusinessDocument'" w:xpath="/gbs:GrowBusinessDocument/gbs:UnofficialTitle[@gbs:key='10010']" w:storeItemID="{649CF456-928E-4A33-A7B1-9E8F09DCA319}"/>
          <w:text/>
        </w:sdtPr>
        <w:sdtContent>
          <w:r w:rsidR="00D81EDE" w:rsidRPr="00D81EDE">
            <w:rPr>
              <w:b/>
              <w:bCs/>
              <w:sz w:val="28"/>
              <w:szCs w:val="28"/>
            </w:rPr>
            <w:t>Høringsnotat - lokal forskrift om tilsyn i bygninger, virksomheter m.m. Flekkefjord kommune</w:t>
          </w:r>
        </w:sdtContent>
      </w:sdt>
      <w:r w:rsidR="00D81EDE" w:rsidRPr="006749F2">
        <w:t xml:space="preserve"> </w:t>
      </w:r>
    </w:p>
    <w:p w14:paraId="513470BE" w14:textId="77777777" w:rsidR="00D81EDE" w:rsidRDefault="00D81EDE" w:rsidP="00D81EDE"/>
    <w:p w14:paraId="63D5F85F" w14:textId="77777777" w:rsidR="00D81EDE" w:rsidRPr="00D81EDE" w:rsidRDefault="00D81EDE" w:rsidP="00D81EDE">
      <w:pPr>
        <w:pStyle w:val="Listeavsnitt"/>
        <w:numPr>
          <w:ilvl w:val="0"/>
          <w:numId w:val="1"/>
        </w:numPr>
        <w:spacing w:after="0" w:line="252" w:lineRule="auto"/>
        <w:rPr>
          <w:b/>
          <w:bCs/>
        </w:rPr>
      </w:pPr>
      <w:bookmarkStart w:id="0" w:name="Start"/>
      <w:bookmarkEnd w:id="0"/>
      <w:r w:rsidRPr="00D81EDE">
        <w:rPr>
          <w:b/>
          <w:bCs/>
        </w:rPr>
        <w:t>Oppsummering:</w:t>
      </w:r>
    </w:p>
    <w:p w14:paraId="22A63C11" w14:textId="77777777" w:rsidR="00D81EDE" w:rsidRDefault="00D81EDE" w:rsidP="00D81EDE"/>
    <w:p w14:paraId="5E5B0CB3" w14:textId="77777777" w:rsidR="00D81EDE" w:rsidRDefault="00D81EDE" w:rsidP="00D81EDE">
      <w:r>
        <w:t xml:space="preserve">Flekkefjord kommune sender med dette ut forslag til lokal forskrift om tilsyn i bygninger, virksomheter </w:t>
      </w:r>
      <w:proofErr w:type="gramStart"/>
      <w:r>
        <w:t>m.m..</w:t>
      </w:r>
      <w:proofErr w:type="gramEnd"/>
    </w:p>
    <w:p w14:paraId="1F5DC877" w14:textId="77777777" w:rsidR="00D81EDE" w:rsidRDefault="00D81EDE" w:rsidP="00D81EDE">
      <w:r>
        <w:t>Forskriften, som gis med hjemmel brann- og eksplosjonsvernloven § 13 fjerde, foreslår spesifikke objekter (bygninger) som kommunen ved brannvesenet gis rett til å føre tilsyn med.</w:t>
      </w:r>
    </w:p>
    <w:p w14:paraId="33222314" w14:textId="77777777" w:rsidR="00D81EDE" w:rsidRDefault="00D81EDE" w:rsidP="00D81EDE"/>
    <w:p w14:paraId="5C4E0B60" w14:textId="77777777" w:rsidR="00D81EDE" w:rsidRPr="00D81EDE" w:rsidRDefault="00D81EDE" w:rsidP="00D81EDE">
      <w:pPr>
        <w:pStyle w:val="Listeavsnitt"/>
        <w:numPr>
          <w:ilvl w:val="0"/>
          <w:numId w:val="1"/>
        </w:numPr>
        <w:spacing w:after="0" w:line="252" w:lineRule="auto"/>
        <w:rPr>
          <w:b/>
          <w:bCs/>
        </w:rPr>
      </w:pPr>
      <w:r w:rsidRPr="00D81EDE">
        <w:rPr>
          <w:b/>
          <w:bCs/>
        </w:rPr>
        <w:t>Hjemmelsgrunnlag</w:t>
      </w:r>
    </w:p>
    <w:p w14:paraId="39173D97" w14:textId="77777777" w:rsidR="00D81EDE" w:rsidRDefault="00D81EDE" w:rsidP="00D81EDE"/>
    <w:p w14:paraId="4BA289EB" w14:textId="069041E8" w:rsidR="00D81EDE" w:rsidRDefault="00D81EDE" w:rsidP="00D81EDE">
      <w:r w:rsidRPr="00184DE4">
        <w:t>Lov om vern mot brann, eksplosjon og ulykker med farlig stoff og om brannvesenets redningsoppgaver (brann- og eksplosjonsvernloven)</w:t>
      </w:r>
      <w:r>
        <w:t xml:space="preserve"> av 14.06.2002 nr. 20 har som formål </w:t>
      </w:r>
      <w:r>
        <w:lastRenderedPageBreak/>
        <w:t>å verne liv, helse, miljø og materielle verdier mot brann, eksplosjon, mot ulykker med farlig stoff og godt og andre akutte ulykker, samt uønskede tilsiktede hendelser.</w:t>
      </w:r>
    </w:p>
    <w:p w14:paraId="3891333F" w14:textId="5905A4CA" w:rsidR="00D81EDE" w:rsidRDefault="00D81EDE" w:rsidP="00D81EDE">
      <w:r>
        <w:t>Loven regulerer den enkeltes og virksomheters plikt til å forebygge og begrense skadevirkninger ved brann, eksplosjon og annen ulike og gir samtidig kommunen plikter og fullmakter til å sørge for forebygging og beredskapsmessige oppgaver.</w:t>
      </w:r>
    </w:p>
    <w:p w14:paraId="67172A15" w14:textId="4D3FD358" w:rsidR="00D81EDE" w:rsidRDefault="00D81EDE" w:rsidP="00D81EDE">
      <w:r>
        <w:t>Som del av kommunens fullmakter følger tilsyn med såkalte særskilte brannobjekter i brann- og eksplosjonsvernloven § 13, som lyder:</w:t>
      </w:r>
    </w:p>
    <w:p w14:paraId="334D6F7F" w14:textId="77777777" w:rsidR="00D81EDE" w:rsidRDefault="00D81EDE" w:rsidP="00D81EDE"/>
    <w:p w14:paraId="3CBB2B89" w14:textId="77777777" w:rsidR="00D81EDE" w:rsidRPr="00184DE4" w:rsidRDefault="00D81EDE" w:rsidP="00D81EDE">
      <w:pPr>
        <w:ind w:left="709"/>
        <w:rPr>
          <w:i/>
          <w:iCs/>
        </w:rPr>
      </w:pPr>
      <w:r w:rsidRPr="00184DE4">
        <w:rPr>
          <w:b/>
          <w:bCs/>
          <w:i/>
          <w:iCs/>
        </w:rPr>
        <w:t>§ 13.Særskilte brannobjekter</w:t>
      </w:r>
    </w:p>
    <w:p w14:paraId="7381FCC9" w14:textId="77777777" w:rsidR="00D81EDE" w:rsidRPr="00184DE4" w:rsidRDefault="00D81EDE" w:rsidP="00D81EDE">
      <w:pPr>
        <w:ind w:left="709" w:firstLine="709"/>
        <w:rPr>
          <w:i/>
          <w:iCs/>
        </w:rPr>
      </w:pPr>
      <w:r w:rsidRPr="00184DE4">
        <w:rPr>
          <w:i/>
          <w:iCs/>
        </w:rPr>
        <w:t>Kommunen skal identifisere og føre fortegnelse over byggverk, opplag, områder, tunneler, virksomheter m.m. hvor brann kan medføre tap av mange liv eller store skader på helse, miljø eller materielle verdier.</w:t>
      </w:r>
    </w:p>
    <w:p w14:paraId="5CCB98F0" w14:textId="77777777" w:rsidR="00D81EDE" w:rsidRPr="00184DE4" w:rsidRDefault="00D81EDE" w:rsidP="00D81EDE">
      <w:pPr>
        <w:ind w:left="709" w:firstLine="709"/>
        <w:rPr>
          <w:i/>
          <w:iCs/>
        </w:rPr>
      </w:pPr>
      <w:r w:rsidRPr="00184DE4">
        <w:rPr>
          <w:i/>
          <w:iCs/>
        </w:rPr>
        <w:t>Kommunen skal sørge for at det føres tilsyn i byggverk m.m. som nevnt i første ledd for å påse at disse er tilstrekkelig sikret mot brann. Tilsynet skal omfatte alle forhold av betydning for brannsikkerheten, herunder bygningsmessige, tekniske, utstyrsmessige og organisatoriske brannsikringstiltak og forhold av betydning for gjennomføring av brannbekjempelse og øvrig redningsinnsats.</w:t>
      </w:r>
    </w:p>
    <w:p w14:paraId="09B71B03" w14:textId="77777777" w:rsidR="00D81EDE" w:rsidRPr="00184DE4" w:rsidRDefault="00D81EDE" w:rsidP="00D81EDE">
      <w:pPr>
        <w:ind w:left="709" w:firstLine="709"/>
        <w:rPr>
          <w:i/>
          <w:iCs/>
        </w:rPr>
      </w:pPr>
      <w:r w:rsidRPr="00184DE4">
        <w:rPr>
          <w:i/>
          <w:iCs/>
        </w:rPr>
        <w:t>Kommunen skal overfor sentral tilsynsmyndighet kunne dokumentere hvordan tilsyn med byggverk m.m. som nevnt i første ledd, som kommunen eier eller bruker, er gjennomført, og hvordan eventuelle pålegg er fulgt opp.</w:t>
      </w:r>
    </w:p>
    <w:p w14:paraId="5094042D" w14:textId="77777777" w:rsidR="00D81EDE" w:rsidRPr="00184DE4" w:rsidRDefault="00D81EDE" w:rsidP="00D81EDE">
      <w:pPr>
        <w:ind w:left="709" w:firstLine="709"/>
        <w:rPr>
          <w:i/>
          <w:iCs/>
        </w:rPr>
      </w:pPr>
      <w:r w:rsidRPr="00184DE4">
        <w:rPr>
          <w:i/>
          <w:iCs/>
        </w:rPr>
        <w:t>Kommunen kan ved enkeltvedtak bestemme at det skal føres tilsyn med andre byggverk m.m. enn de som er omfattet av første ledd. Kommunestyret selv kan fastsette lokal forskrift om tilsyn med andre byggverk m.m. enn de som er omfattet av første ledd.</w:t>
      </w:r>
    </w:p>
    <w:p w14:paraId="59711421" w14:textId="77777777" w:rsidR="00D81EDE" w:rsidRPr="00184DE4" w:rsidRDefault="00D81EDE" w:rsidP="00D81EDE">
      <w:pPr>
        <w:ind w:left="709" w:firstLine="709"/>
        <w:rPr>
          <w:i/>
          <w:iCs/>
        </w:rPr>
      </w:pPr>
      <w:r w:rsidRPr="00184DE4">
        <w:rPr>
          <w:i/>
          <w:iCs/>
        </w:rPr>
        <w:t>Departementet kan gi forskrifter om tilsyn med særskilte brannobjekter</w:t>
      </w:r>
      <w:r>
        <w:rPr>
          <w:i/>
          <w:iCs/>
        </w:rPr>
        <w:t>.</w:t>
      </w:r>
    </w:p>
    <w:p w14:paraId="368E66F9" w14:textId="77777777" w:rsidR="00D81EDE" w:rsidRDefault="00D81EDE" w:rsidP="00D81EDE"/>
    <w:p w14:paraId="10112E09" w14:textId="77777777" w:rsidR="00D81EDE" w:rsidRDefault="00D81EDE" w:rsidP="00D81EDE">
      <w:r>
        <w:t>S</w:t>
      </w:r>
      <w:r w:rsidRPr="00184DE4">
        <w:t>ærskilte brannobjekter er byggverk og lignende der brann kan medføre tap av liv eller store skader på helse, miljø eller materielle verdier</w:t>
      </w:r>
      <w:r>
        <w:t xml:space="preserve"> jf. bestemmelsens første ledd</w:t>
      </w:r>
      <w:r w:rsidRPr="00184DE4">
        <w:t xml:space="preserve">. </w:t>
      </w:r>
      <w:r>
        <w:t>Typiske objekter er i</w:t>
      </w:r>
      <w:r w:rsidRPr="00C14D11">
        <w:t>nstitusjoner, overnattingssteder, skoler, barnehager, forsamlingslokaler, store salgslokaler, store nærings- og industribygninger, samfunnsviktige knutepunkter, museer, kirker, m.m</w:t>
      </w:r>
      <w:r>
        <w:t>.</w:t>
      </w:r>
    </w:p>
    <w:p w14:paraId="22EF3187" w14:textId="77777777" w:rsidR="00D81EDE" w:rsidRDefault="00D81EDE" w:rsidP="00D81EDE">
      <w:r>
        <w:t>Bestemmelsen er utdypet i forskrift om brannforebygging § 14 hvoretter kommunen plikter å kartlegge risikoen for brann – dvs. både sannsynlighet og konsekvens.</w:t>
      </w:r>
    </w:p>
    <w:p w14:paraId="4D4BC94E" w14:textId="77777777" w:rsidR="00D81EDE" w:rsidRDefault="00D81EDE" w:rsidP="00D81EDE"/>
    <w:p w14:paraId="6F769731" w14:textId="6D49252C" w:rsidR="00D81EDE" w:rsidRDefault="00D81EDE" w:rsidP="00D81EDE">
      <w:r>
        <w:lastRenderedPageBreak/>
        <w:t xml:space="preserve"> Etter brann- og eksplosjonsvernloven § 13, fjerde ledd, første punktum kan kommunen ved enkeltvedtak føre tilsyn med andre byggverk </w:t>
      </w:r>
      <w:proofErr w:type="spellStart"/>
      <w:r>
        <w:t>m.m</w:t>
      </w:r>
      <w:proofErr w:type="spellEnd"/>
      <w:r>
        <w:t>, enn de som er omfattet av første ledd. Et slikt vedtak  må følge de krav som følger av forvaltningsloven kapitlene III, IV, V og VI.</w:t>
      </w:r>
    </w:p>
    <w:p w14:paraId="2CA07295" w14:textId="77777777" w:rsidR="00D81EDE" w:rsidRDefault="00D81EDE" w:rsidP="00D81EDE">
      <w:r>
        <w:t>§ 13, fjerde ledd første punktum kan oppsummeres slik:</w:t>
      </w:r>
    </w:p>
    <w:p w14:paraId="3B5ABBCF" w14:textId="77777777" w:rsidR="00D81EDE" w:rsidRPr="0098272A" w:rsidRDefault="00D81EDE" w:rsidP="00D81EDE">
      <w:pPr>
        <w:ind w:left="709"/>
        <w:rPr>
          <w:i/>
          <w:iCs/>
        </w:rPr>
      </w:pPr>
      <w:r w:rsidRPr="0098272A">
        <w:rPr>
          <w:i/>
          <w:iCs/>
        </w:rPr>
        <w:t xml:space="preserve">Lovens ordlyd gir ingen føringer for hva som menes med andre byggverk m.m., men forarbeidene peker på at det må være en særskilt risiko, jf. </w:t>
      </w:r>
      <w:proofErr w:type="spellStart"/>
      <w:r w:rsidRPr="0098272A">
        <w:rPr>
          <w:i/>
          <w:iCs/>
        </w:rPr>
        <w:t>Prop</w:t>
      </w:r>
      <w:proofErr w:type="spellEnd"/>
      <w:r w:rsidRPr="0098272A">
        <w:rPr>
          <w:i/>
          <w:iCs/>
        </w:rPr>
        <w:t xml:space="preserve">. 52 L (2014–2015) punkt 10.5 side 39. Tilsyn gjennom enkeltvedtak etter </w:t>
      </w:r>
      <w:proofErr w:type="spellStart"/>
      <w:r w:rsidRPr="0098272A">
        <w:rPr>
          <w:i/>
          <w:iCs/>
        </w:rPr>
        <w:t>bevl</w:t>
      </w:r>
      <w:proofErr w:type="spellEnd"/>
      <w:r w:rsidRPr="0098272A">
        <w:rPr>
          <w:i/>
          <w:iCs/>
        </w:rPr>
        <w:t xml:space="preserve">. § 13 fjerde ledd første punktum er normalt delegert til brann- og redningsvesenet. Muligheten kommunen har til å delegere myndighet til å fatte enkeltvedtak om tilsyn, er tydeliggjort ved lov 29. mai 2015 nr. 36. I </w:t>
      </w:r>
      <w:proofErr w:type="spellStart"/>
      <w:r w:rsidRPr="0098272A">
        <w:rPr>
          <w:i/>
          <w:iCs/>
        </w:rPr>
        <w:t>Prop</w:t>
      </w:r>
      <w:proofErr w:type="spellEnd"/>
      <w:r w:rsidRPr="0098272A">
        <w:rPr>
          <w:i/>
          <w:iCs/>
        </w:rPr>
        <w:t xml:space="preserve">. 52 L (2014–2015) punkt 10.5 side 39 begrunnes denne delegeringsmuligheten med at tilsyn gjennom enkeltvedtak ikke vil ha et bredt virkeområde, men knytte seg til risikofylte enkelttilfeller. Eksempler på hvor slike tilsyn kan være aktuelle å gjennomføre, er i nedlagte industribygg som brukes ulovlig til festlokaler, eller på overnattingssteder som ikke er registrert som særskilt brannobjekt etter bestemmelsens første ledd. Tilsynene foretas gjerne på grunn av bekymringsmeldinger fra publikum. </w:t>
      </w:r>
    </w:p>
    <w:p w14:paraId="22E3D4DC" w14:textId="77777777" w:rsidR="00D81EDE" w:rsidRPr="0098272A" w:rsidRDefault="00D81EDE" w:rsidP="00D81EDE">
      <w:pPr>
        <w:ind w:left="709"/>
        <w:rPr>
          <w:i/>
          <w:iCs/>
        </w:rPr>
      </w:pPr>
      <w:r w:rsidRPr="0098272A">
        <w:rPr>
          <w:i/>
          <w:iCs/>
        </w:rPr>
        <w:t xml:space="preserve">Elin Olsen, Tina B. Hoff, Mari Hovland, Elisabeth </w:t>
      </w:r>
      <w:proofErr w:type="spellStart"/>
      <w:r w:rsidRPr="0098272A">
        <w:rPr>
          <w:i/>
          <w:iCs/>
        </w:rPr>
        <w:t>Tennebø</w:t>
      </w:r>
      <w:proofErr w:type="spellEnd"/>
      <w:r w:rsidRPr="0098272A">
        <w:rPr>
          <w:i/>
          <w:iCs/>
        </w:rPr>
        <w:t xml:space="preserve">, Brann- og eksplosjonsvernloven: Kommentarutgave, </w:t>
      </w:r>
      <w:hyperlink r:id="rId8" w:history="1">
        <w:r w:rsidRPr="0098272A">
          <w:rPr>
            <w:rStyle w:val="Hyperkobling"/>
            <w:i/>
            <w:iCs/>
          </w:rPr>
          <w:t>§ 13. Særskilte brannobjekter</w:t>
        </w:r>
      </w:hyperlink>
      <w:r w:rsidRPr="0098272A">
        <w:rPr>
          <w:i/>
          <w:iCs/>
        </w:rPr>
        <w:t xml:space="preserve">, </w:t>
      </w:r>
      <w:hyperlink r:id="rId9" w:history="1">
        <w:r w:rsidRPr="0098272A">
          <w:rPr>
            <w:rStyle w:val="Hyperkobling"/>
            <w:i/>
            <w:iCs/>
          </w:rPr>
          <w:t>Juridika</w:t>
        </w:r>
      </w:hyperlink>
      <w:r w:rsidRPr="0098272A">
        <w:rPr>
          <w:i/>
          <w:iCs/>
        </w:rPr>
        <w:t>, sist ajourført 30. november 2025</w:t>
      </w:r>
    </w:p>
    <w:p w14:paraId="73F6943F" w14:textId="3FA89679" w:rsidR="00D81EDE" w:rsidRDefault="00D81EDE" w:rsidP="00D81EDE">
      <w:r>
        <w:t>Brann- og eksplosjonsvernloven § 13, fjerde ledd annet punktum åpner for at kommunestyret kan fastsette lokal forskrift som gir adgang til å føre tilsyn med andre byggverk enn de som er omfattet av første ledd. Bestemmelsen åpner dermed for at kommunen i en lokal forskrift, etter en konkret vurdering, kan liste opp spesifikke objekter som det gir rett til å føre tilsyn med, og som da kan gjennomføres uten å gå veien om enkeltvedtak.</w:t>
      </w:r>
    </w:p>
    <w:p w14:paraId="46B6D4E6" w14:textId="10E0E8B6" w:rsidR="00D81EDE" w:rsidRDefault="00D81EDE" w:rsidP="00D81EDE">
      <w:r>
        <w:t xml:space="preserve">Når kommunen skal vurdere å lage lokal forskrift for spesifikke objekter etter § 13, fjerde ledd annet punktum, skal det tas utgangspunkt i en konkret </w:t>
      </w:r>
      <w:proofErr w:type="spellStart"/>
      <w:r>
        <w:t>brannfaglig</w:t>
      </w:r>
      <w:proofErr w:type="spellEnd"/>
      <w:r>
        <w:t xml:space="preserve"> vurdering mht. behovet for tilsyn.  En slik forskrift kan, jf. dom fra Frostating lagmannsrett (LF-2008-3236) ikke være for generell. </w:t>
      </w:r>
    </w:p>
    <w:p w14:paraId="2D547603" w14:textId="77777777" w:rsidR="00D81EDE" w:rsidRDefault="00D81EDE" w:rsidP="00D81EDE">
      <w:r>
        <w:t>Fra lovkommentar gjengis:</w:t>
      </w:r>
    </w:p>
    <w:p w14:paraId="62041D6E" w14:textId="77777777" w:rsidR="00D81EDE" w:rsidRPr="0098272A" w:rsidRDefault="00D81EDE" w:rsidP="00D81EDE">
      <w:pPr>
        <w:ind w:left="709"/>
        <w:rPr>
          <w:i/>
          <w:iCs/>
        </w:rPr>
      </w:pPr>
      <w:r w:rsidRPr="0098272A">
        <w:rPr>
          <w:i/>
          <w:iCs/>
        </w:rPr>
        <w:t xml:space="preserve">Retten til privatliv og respekt for sitt hjem er grunnlovfestede menneskerettigheter som må vektes mot de samfunnsbehovene som begrunner et tilsyn i en privat bolig </w:t>
      </w:r>
    </w:p>
    <w:p w14:paraId="52E9DE33" w14:textId="77777777" w:rsidR="00D81EDE" w:rsidRPr="0098272A" w:rsidRDefault="00D81EDE" w:rsidP="00D81EDE">
      <w:pPr>
        <w:ind w:left="709"/>
        <w:rPr>
          <w:i/>
          <w:iCs/>
        </w:rPr>
      </w:pPr>
      <w:r w:rsidRPr="0098272A">
        <w:rPr>
          <w:i/>
          <w:iCs/>
        </w:rPr>
        <w:t xml:space="preserve">Elin Olsen, Tina B. Hoff, Mari Hovland, Elisabeth </w:t>
      </w:r>
      <w:proofErr w:type="spellStart"/>
      <w:r w:rsidRPr="0098272A">
        <w:rPr>
          <w:i/>
          <w:iCs/>
        </w:rPr>
        <w:t>Tennebø</w:t>
      </w:r>
      <w:proofErr w:type="spellEnd"/>
      <w:r w:rsidRPr="0098272A">
        <w:rPr>
          <w:i/>
          <w:iCs/>
        </w:rPr>
        <w:t xml:space="preserve">, Brann- og eksplosjonsvernloven: Kommentarutgave, </w:t>
      </w:r>
      <w:hyperlink r:id="rId10" w:history="1">
        <w:r w:rsidRPr="0098272A">
          <w:rPr>
            <w:rStyle w:val="Hyperkobling"/>
            <w:i/>
            <w:iCs/>
          </w:rPr>
          <w:t>§ 13. Særskilte brannobjekter</w:t>
        </w:r>
      </w:hyperlink>
      <w:r w:rsidRPr="0098272A">
        <w:rPr>
          <w:i/>
          <w:iCs/>
        </w:rPr>
        <w:t xml:space="preserve">, </w:t>
      </w:r>
      <w:hyperlink r:id="rId11" w:history="1">
        <w:r w:rsidRPr="0098272A">
          <w:rPr>
            <w:rStyle w:val="Hyperkobling"/>
            <w:i/>
            <w:iCs/>
          </w:rPr>
          <w:t>Juridika</w:t>
        </w:r>
      </w:hyperlink>
      <w:r w:rsidRPr="0098272A">
        <w:rPr>
          <w:i/>
          <w:iCs/>
        </w:rPr>
        <w:t>, sist ajourført 30. november 2025</w:t>
      </w:r>
    </w:p>
    <w:p w14:paraId="62B185B4" w14:textId="77777777" w:rsidR="00D81EDE" w:rsidRDefault="00D81EDE" w:rsidP="00D81EDE"/>
    <w:p w14:paraId="4F633C0E" w14:textId="77777777" w:rsidR="00D81EDE" w:rsidRDefault="00D81EDE" w:rsidP="00D81EDE">
      <w:r>
        <w:t>Nedenfor gjengis vurderinger knyttet til de spesifikke objekter som foreslås inntatt i lokal forskrift. Det er lagt vekt på hensiktsmessighet, måloppnåelse og ressursbruk. Sentralt er proporsjonalitetsprinsippet – hvor det skal være en sammenheng mellom virkemiddel og mål.</w:t>
      </w:r>
    </w:p>
    <w:p w14:paraId="06E8176F" w14:textId="77777777" w:rsidR="00D81EDE" w:rsidRDefault="00D81EDE" w:rsidP="00D81EDE">
      <w:r>
        <w:t>Selve forskriften er bygget opp i tråd med veiledning fra Direktoratet for samfunnssikkerhet og beredskap (DSB).</w:t>
      </w:r>
    </w:p>
    <w:p w14:paraId="34E0EFE0" w14:textId="77777777" w:rsidR="00D81EDE" w:rsidRDefault="00D81EDE" w:rsidP="00D81EDE"/>
    <w:p w14:paraId="345F3320" w14:textId="77777777" w:rsidR="00D81EDE" w:rsidRPr="00D81EDE" w:rsidRDefault="00D81EDE" w:rsidP="00D81EDE">
      <w:pPr>
        <w:pStyle w:val="Listeavsnitt"/>
        <w:numPr>
          <w:ilvl w:val="0"/>
          <w:numId w:val="1"/>
        </w:numPr>
        <w:spacing w:after="0" w:line="252" w:lineRule="auto"/>
        <w:rPr>
          <w:b/>
          <w:bCs/>
        </w:rPr>
      </w:pPr>
      <w:r w:rsidRPr="00D81EDE">
        <w:rPr>
          <w:b/>
          <w:bCs/>
        </w:rPr>
        <w:t>Forslag til virkeområde – forslag til lokal forskrift § 2</w:t>
      </w:r>
    </w:p>
    <w:p w14:paraId="433928CB" w14:textId="77777777" w:rsidR="00D81EDE" w:rsidRDefault="00D81EDE" w:rsidP="00D81EDE"/>
    <w:p w14:paraId="02DEC93E" w14:textId="77777777" w:rsidR="00D81EDE" w:rsidRDefault="00D81EDE" w:rsidP="00D81EDE">
      <w:r>
        <w:t xml:space="preserve">Flekkefjord kommune foreslår at følgende </w:t>
      </w:r>
      <w:proofErr w:type="spellStart"/>
      <w:r>
        <w:t>objektkategorier</w:t>
      </w:r>
      <w:proofErr w:type="spellEnd"/>
      <w:r>
        <w:t xml:space="preserve"> omfattes av en lokal forskrift om tilsyn i bygninger, virksomheter m.m.</w:t>
      </w:r>
    </w:p>
    <w:p w14:paraId="307C5AC6" w14:textId="1C852D87" w:rsidR="00D81EDE" w:rsidRPr="00BF0416" w:rsidRDefault="00D81EDE" w:rsidP="00D81EDE">
      <w:pPr>
        <w:ind w:left="709"/>
        <w:rPr>
          <w:b/>
          <w:bCs/>
          <w:i/>
          <w:iCs/>
        </w:rPr>
      </w:pPr>
      <w:r>
        <w:rPr>
          <w:b/>
          <w:bCs/>
          <w:i/>
          <w:iCs/>
        </w:rPr>
        <w:t xml:space="preserve">Utkast til </w:t>
      </w:r>
      <w:r w:rsidRPr="00BF0416">
        <w:rPr>
          <w:b/>
          <w:bCs/>
          <w:i/>
          <w:iCs/>
        </w:rPr>
        <w:t>§ 2.Virkeområde</w:t>
      </w:r>
    </w:p>
    <w:p w14:paraId="2DB32D0E" w14:textId="77777777" w:rsidR="00D81EDE" w:rsidRPr="00BF0416" w:rsidRDefault="00D81EDE" w:rsidP="00D81EDE">
      <w:pPr>
        <w:ind w:left="709"/>
        <w:rPr>
          <w:i/>
          <w:iCs/>
        </w:rPr>
      </w:pPr>
      <w:r w:rsidRPr="00BF0416">
        <w:rPr>
          <w:i/>
          <w:iCs/>
        </w:rPr>
        <w:t>Forskriften gjelder i Flekkefjord kommune, og fastsetter hvilke bygninger i kommunen den lokale tilsynsmyndigheten gis rett til å føre tilsyn med.</w:t>
      </w:r>
    </w:p>
    <w:p w14:paraId="635DA12F" w14:textId="77777777" w:rsidR="00D81EDE" w:rsidRPr="00BF0416" w:rsidRDefault="00D81EDE" w:rsidP="00D81EDE">
      <w:pPr>
        <w:ind w:left="709"/>
        <w:rPr>
          <w:i/>
          <w:iCs/>
        </w:rPr>
      </w:pPr>
      <w:r w:rsidRPr="00BF0416">
        <w:rPr>
          <w:i/>
          <w:iCs/>
        </w:rPr>
        <w:t xml:space="preserve">Tilsynet gjelder følgende </w:t>
      </w:r>
      <w:proofErr w:type="spellStart"/>
      <w:r w:rsidRPr="00BF0416">
        <w:rPr>
          <w:i/>
          <w:iCs/>
        </w:rPr>
        <w:t>objektkategorier</w:t>
      </w:r>
      <w:proofErr w:type="spellEnd"/>
      <w:r w:rsidRPr="00BF0416">
        <w:rPr>
          <w:i/>
          <w:iCs/>
        </w:rPr>
        <w:t>:</w:t>
      </w:r>
    </w:p>
    <w:p w14:paraId="19FD6D74" w14:textId="77777777" w:rsidR="00D81EDE" w:rsidRPr="00BF0416" w:rsidRDefault="00D81EDE" w:rsidP="00D81EDE">
      <w:pPr>
        <w:pStyle w:val="Listeavsnitt"/>
        <w:numPr>
          <w:ilvl w:val="0"/>
          <w:numId w:val="2"/>
        </w:numPr>
        <w:ind w:left="1429"/>
        <w:rPr>
          <w:i/>
          <w:iCs/>
        </w:rPr>
      </w:pPr>
      <w:r w:rsidRPr="00BF0416">
        <w:rPr>
          <w:i/>
          <w:iCs/>
        </w:rPr>
        <w:t>Bygninger i områder med verneverdig tett trehusbebyggelse og andre områder hvor faren for brannspredning mellom bygninger er særlig stor.</w:t>
      </w:r>
    </w:p>
    <w:p w14:paraId="2A5CCBC4" w14:textId="77777777" w:rsidR="00D81EDE" w:rsidRPr="00BF0416" w:rsidRDefault="00D81EDE" w:rsidP="00D81EDE">
      <w:pPr>
        <w:pStyle w:val="Listeavsnitt"/>
        <w:numPr>
          <w:ilvl w:val="0"/>
          <w:numId w:val="2"/>
        </w:numPr>
        <w:ind w:left="1429"/>
        <w:rPr>
          <w:i/>
          <w:iCs/>
        </w:rPr>
      </w:pPr>
      <w:r w:rsidRPr="00BF0416">
        <w:rPr>
          <w:i/>
          <w:iCs/>
        </w:rPr>
        <w:t>Kommunale boliger og boenheter med kommunal tildelingsrett.</w:t>
      </w:r>
    </w:p>
    <w:p w14:paraId="4501E2C3" w14:textId="77777777" w:rsidR="00D81EDE" w:rsidRPr="00BF0416" w:rsidRDefault="00D81EDE" w:rsidP="00D81EDE">
      <w:pPr>
        <w:pStyle w:val="Listeavsnitt"/>
        <w:numPr>
          <w:ilvl w:val="0"/>
          <w:numId w:val="2"/>
        </w:numPr>
        <w:ind w:left="1429"/>
        <w:rPr>
          <w:i/>
          <w:iCs/>
        </w:rPr>
      </w:pPr>
      <w:r w:rsidRPr="00BF0416">
        <w:rPr>
          <w:i/>
          <w:iCs/>
        </w:rPr>
        <w:t>Mindre serveringssteder som benytter frityr, gass, grill eller andre koke- og steke innretninger som kan lede til økt brannrisiko.</w:t>
      </w:r>
    </w:p>
    <w:p w14:paraId="6997F38F" w14:textId="77777777" w:rsidR="00D81EDE" w:rsidRDefault="00D81EDE" w:rsidP="00D81EDE"/>
    <w:p w14:paraId="0567B24F" w14:textId="05BCDEF4" w:rsidR="00D81EDE" w:rsidRPr="00D81EDE" w:rsidRDefault="00D81EDE" w:rsidP="00D81EDE">
      <w:pPr>
        <w:pStyle w:val="Listeavsnitt"/>
        <w:numPr>
          <w:ilvl w:val="1"/>
          <w:numId w:val="1"/>
        </w:numPr>
        <w:spacing w:after="0" w:line="252" w:lineRule="auto"/>
        <w:rPr>
          <w:u w:val="single"/>
        </w:rPr>
      </w:pPr>
      <w:proofErr w:type="spellStart"/>
      <w:r w:rsidRPr="00D81EDE">
        <w:rPr>
          <w:u w:val="single"/>
        </w:rPr>
        <w:t>Objektkategori</w:t>
      </w:r>
      <w:proofErr w:type="spellEnd"/>
      <w:r w:rsidRPr="00D81EDE">
        <w:rPr>
          <w:u w:val="single"/>
        </w:rPr>
        <w:t xml:space="preserve"> A – bygninger i områder med verneverdig tett trehusbebyggelse og andre områder hvor faren for brannspredning mellom bygninger er særlig stor.</w:t>
      </w:r>
    </w:p>
    <w:p w14:paraId="31A4DBA7" w14:textId="77777777" w:rsidR="00D81EDE" w:rsidRDefault="00D81EDE" w:rsidP="00D81EDE"/>
    <w:p w14:paraId="1C8B55BC" w14:textId="77777777" w:rsidR="00D81EDE" w:rsidRDefault="00D81EDE" w:rsidP="00D81EDE">
      <w:r>
        <w:t>Flekkefjord kommune har flere områder, både i bykjernen og i Rasvåg som er kjennetegnet med verneverdig trehusbebyggelse, og tett trehusbebyggelse. Nesten hele bykjernen i Flekkefjord er omfattet av Riksantikvarens NB-område, og Flekkefjord har mange SEFRAK-registrerte bygninger.</w:t>
      </w:r>
    </w:p>
    <w:p w14:paraId="3E01C98E" w14:textId="579EBDB5" w:rsidR="00D81EDE" w:rsidRDefault="00D81EDE" w:rsidP="00D81EDE">
      <w:r>
        <w:t>Direktoratet for samfunnssikkerhet og beredskap (DSB) skriver i sin veiledning til brann- og eksplosjonsvernloven § 13 følgende om verneverdig trehusbebyggelse:</w:t>
      </w:r>
    </w:p>
    <w:p w14:paraId="01263EE6" w14:textId="3734542E" w:rsidR="00D81EDE" w:rsidRDefault="00D81EDE" w:rsidP="00D81EDE">
      <w:r>
        <w:t xml:space="preserve"> </w:t>
      </w:r>
    </w:p>
    <w:p w14:paraId="3347C08B" w14:textId="77777777" w:rsidR="00D81EDE" w:rsidRPr="00BF0416" w:rsidRDefault="00D81EDE" w:rsidP="00D81EDE">
      <w:pPr>
        <w:ind w:left="709"/>
        <w:rPr>
          <w:i/>
          <w:iCs/>
        </w:rPr>
      </w:pPr>
      <w:proofErr w:type="gramStart"/>
      <w:r w:rsidRPr="00BF0416">
        <w:t>”</w:t>
      </w:r>
      <w:r w:rsidRPr="00BF0416">
        <w:rPr>
          <w:i/>
          <w:iCs/>
        </w:rPr>
        <w:t>Fredede</w:t>
      </w:r>
      <w:proofErr w:type="gramEnd"/>
      <w:r w:rsidRPr="00BF0416">
        <w:rPr>
          <w:i/>
          <w:iCs/>
        </w:rPr>
        <w:t xml:space="preserve"> bygninger og områder med verneverdig tett trehusbebyggelse”</w:t>
      </w:r>
    </w:p>
    <w:p w14:paraId="62B256CF" w14:textId="77777777" w:rsidR="00D81EDE" w:rsidRPr="00BF0416" w:rsidRDefault="00D81EDE" w:rsidP="00D81EDE">
      <w:pPr>
        <w:ind w:left="709"/>
        <w:rPr>
          <w:i/>
          <w:iCs/>
        </w:rPr>
      </w:pPr>
      <w:r w:rsidRPr="00BF0416">
        <w:rPr>
          <w:i/>
          <w:iCs/>
        </w:rPr>
        <w:t>Særskilt brannobjekt</w:t>
      </w:r>
    </w:p>
    <w:p w14:paraId="6EB91F05" w14:textId="77777777" w:rsidR="00D81EDE" w:rsidRPr="00BF0416" w:rsidRDefault="00D81EDE" w:rsidP="00D81EDE">
      <w:pPr>
        <w:ind w:left="709"/>
        <w:rPr>
          <w:i/>
          <w:iCs/>
        </w:rPr>
      </w:pPr>
      <w:r w:rsidRPr="00BF0416">
        <w:rPr>
          <w:i/>
          <w:iCs/>
        </w:rPr>
        <w:lastRenderedPageBreak/>
        <w:t xml:space="preserve">Fredede bygninger og registrerte områder med verneverdig tett trehusbebyggelse med fare for områdebrann er utpekt </w:t>
      </w:r>
      <w:proofErr w:type="gramStart"/>
      <w:r w:rsidRPr="00BF0416">
        <w:rPr>
          <w:i/>
          <w:iCs/>
        </w:rPr>
        <w:t>som ”uerstattelige</w:t>
      </w:r>
      <w:proofErr w:type="gramEnd"/>
      <w:r w:rsidRPr="00BF0416">
        <w:rPr>
          <w:i/>
          <w:iCs/>
        </w:rPr>
        <w:t xml:space="preserve"> nasjonale kulturverdier”, og faller dermed inn under nullvisjonen i </w:t>
      </w:r>
      <w:proofErr w:type="spellStart"/>
      <w:r w:rsidRPr="00BF0416">
        <w:rPr>
          <w:i/>
          <w:iCs/>
        </w:rPr>
        <w:t>St.m</w:t>
      </w:r>
      <w:proofErr w:type="spellEnd"/>
      <w:r w:rsidRPr="00BF0416">
        <w:rPr>
          <w:i/>
          <w:iCs/>
        </w:rPr>
        <w:t xml:space="preserve">. </w:t>
      </w:r>
      <w:proofErr w:type="spellStart"/>
      <w:r w:rsidRPr="00BF0416">
        <w:rPr>
          <w:i/>
          <w:iCs/>
        </w:rPr>
        <w:t>nr</w:t>
      </w:r>
      <w:proofErr w:type="spellEnd"/>
      <w:r w:rsidRPr="00BF0416">
        <w:rPr>
          <w:i/>
          <w:iCs/>
        </w:rPr>
        <w:t xml:space="preserve"> 41 (2000 – 2001). Dermed anser vi det også som naturlig at tilsynsmyndighetene på brannsiden benytter seg av tilsyn som virkemiddel for å medvirke til at det ikke forekommer tap av denne type objekter som følge av brann. Regelverket for tilsyn er, slik det i dag fremstår, kun myntet på tilsyn rettet mot enkeltobjekter med en eller et fåtall eiere. Derfor møter vi praktiske og </w:t>
      </w:r>
      <w:proofErr w:type="spellStart"/>
      <w:r w:rsidRPr="00BF0416">
        <w:rPr>
          <w:i/>
          <w:iCs/>
        </w:rPr>
        <w:t>foremelle</w:t>
      </w:r>
      <w:proofErr w:type="spellEnd"/>
      <w:r w:rsidRPr="00BF0416">
        <w:rPr>
          <w:i/>
          <w:iCs/>
        </w:rPr>
        <w:t xml:space="preserve"> problemer når vi skal uføre tilsyn i særskilte brannobjekter som består av mange enheter med ulike og mange eiere slik det er i områder med verneverdig tett trehusbebyggelse. Vi vil derfor ikke anbefale å hjemle tilsynet i tett trehusbebyggelse gjennom å registrere området som særskilt brannobjekt, men i stedet beslutte tilsyn gjennom å etablere en lokal forskrift som hjemler tilsynet.</w:t>
      </w:r>
      <w:r>
        <w:rPr>
          <w:i/>
          <w:iCs/>
        </w:rPr>
        <w:t>»</w:t>
      </w:r>
    </w:p>
    <w:p w14:paraId="4EE806D7" w14:textId="77777777" w:rsidR="00D81EDE" w:rsidRDefault="00D81EDE" w:rsidP="00D81EDE">
      <w:pPr>
        <w:ind w:left="709"/>
      </w:pPr>
    </w:p>
    <w:p w14:paraId="4A8F58D1" w14:textId="77777777" w:rsidR="00E46B0C" w:rsidRDefault="00D81EDE" w:rsidP="00D81EDE">
      <w:r>
        <w:t xml:space="preserve">I utgangspunktet jobber Flekkefjord brann- og redningsvesen med forebyggende arbeid i form av informasjonskampanjer og råd/veiledning. Dette gjøres f. eks også sammen med EL-tilsynet, og det er laget en felles brosjyre som er gitt eiere av trehusbebyggelse i Flekkefjord. </w:t>
      </w:r>
    </w:p>
    <w:p w14:paraId="365B420B" w14:textId="10273BDA" w:rsidR="00D81EDE" w:rsidRDefault="00D81EDE" w:rsidP="00D81EDE">
      <w:r>
        <w:t>Det er imidlertid behov</w:t>
      </w:r>
      <w:r w:rsidR="00E46B0C">
        <w:t>,</w:t>
      </w:r>
      <w:r>
        <w:t xml:space="preserve"> slik kommunen vurderer det</w:t>
      </w:r>
      <w:r w:rsidR="00E46B0C">
        <w:t>,</w:t>
      </w:r>
      <w:r>
        <w:t xml:space="preserve"> å ha en større mulighet til å føre tilsyn med disse bygningene generelt. Det legges særlig vekt på at områdene anses som uerstattelige nasjonale kulturverdier, og at Flekkefjord kommunes egenart kjennetegnes ved denne type bebyggelse. Bebyggelsen har stor risiko for brannspredning. Videre benyttes store deler av bygningsmassen som fritidsbolig, som medfører at brann kan få utvikle seg uten å bli oppdaget. Brannvesenet erfarer også at det i større grad enn i øvrige byggefelt er utleie mot risikogrupper, som ut fra erfaring har en større grad av risiko for branntilløp. Dette må vurderes opp mot den enkeltes rett til privatliv.</w:t>
      </w:r>
    </w:p>
    <w:p w14:paraId="60F100D2" w14:textId="4C2FCDAC" w:rsidR="00D81EDE" w:rsidRDefault="00D81EDE" w:rsidP="00D81EDE">
      <w:r>
        <w:t>I interesseavveiningen vurderes det at hensynet til verneverdig bebyggelse og den særlige risiko som er i denne bygningskategori veier tyngst, og at denne kategorien bør omfattes av en lokal forskrift.</w:t>
      </w:r>
    </w:p>
    <w:p w14:paraId="18656F9A" w14:textId="77777777" w:rsidR="00D81EDE" w:rsidRPr="00E46B0C" w:rsidRDefault="00D81EDE" w:rsidP="00D81EDE">
      <w:pPr>
        <w:rPr>
          <w:u w:val="single"/>
        </w:rPr>
      </w:pPr>
    </w:p>
    <w:p w14:paraId="0677316E" w14:textId="77777777" w:rsidR="00D81EDE" w:rsidRPr="00E46B0C" w:rsidRDefault="00D81EDE" w:rsidP="00D81EDE">
      <w:pPr>
        <w:pStyle w:val="Listeavsnitt"/>
        <w:numPr>
          <w:ilvl w:val="1"/>
          <w:numId w:val="1"/>
        </w:numPr>
        <w:spacing w:after="0" w:line="252" w:lineRule="auto"/>
        <w:rPr>
          <w:u w:val="single"/>
        </w:rPr>
      </w:pPr>
      <w:proofErr w:type="spellStart"/>
      <w:r w:rsidRPr="00E46B0C">
        <w:rPr>
          <w:u w:val="single"/>
        </w:rPr>
        <w:t>Objektkategori</w:t>
      </w:r>
      <w:proofErr w:type="spellEnd"/>
      <w:r w:rsidRPr="00E46B0C">
        <w:rPr>
          <w:u w:val="single"/>
        </w:rPr>
        <w:t xml:space="preserve"> 3 – omsorgsboliger, samt kommunale boliger og boliger med kommunal tildelingsrett</w:t>
      </w:r>
    </w:p>
    <w:p w14:paraId="25AFEB35" w14:textId="77777777" w:rsidR="00D81EDE" w:rsidRDefault="00D81EDE" w:rsidP="00D81EDE"/>
    <w:p w14:paraId="4EAD4DF5" w14:textId="230E79F6" w:rsidR="00D81EDE" w:rsidRPr="00CA6C6D" w:rsidRDefault="00D81EDE" w:rsidP="00D81EDE">
      <w:r w:rsidRPr="00CA6C6D">
        <w:t xml:space="preserve">En omsorgsbolig defineres som en bolig som er tilpasset orienterings- og bevegelseshemmede og fysisk tilrettelagt slik at beboere etter behov skal kunne motta heldøgns pleie og omsorg, og hvor kommunen har tildelingsplikt. De som bor i disse boligene er </w:t>
      </w:r>
      <w:r w:rsidR="00AC128E">
        <w:t>en utsatt gruppe,</w:t>
      </w:r>
      <w:r w:rsidRPr="00CA6C6D">
        <w:t xml:space="preserve"> og må ofte ha bistand for å komme seg i sikkerhet. Det er derfor viktig at brannvesenet har </w:t>
      </w:r>
      <w:proofErr w:type="gramStart"/>
      <w:r w:rsidRPr="00CA6C6D">
        <w:t>fokus</w:t>
      </w:r>
      <w:proofErr w:type="gramEnd"/>
      <w:r w:rsidRPr="00CA6C6D">
        <w:t xml:space="preserve"> på disse boligene.</w:t>
      </w:r>
    </w:p>
    <w:p w14:paraId="0510F745" w14:textId="6CCB87ED" w:rsidR="00D81EDE" w:rsidRDefault="00D81EDE" w:rsidP="00D81EDE">
      <w:r w:rsidRPr="00CA6C6D">
        <w:lastRenderedPageBreak/>
        <w:t>Omsorgsboliger faller normalt ikke inn under særskilte brannobjekter</w:t>
      </w:r>
      <w:r w:rsidR="00E46B0C">
        <w:t xml:space="preserve"> etter brann- og eksplosjonsvernloven § 13, første ledd</w:t>
      </w:r>
      <w:r w:rsidRPr="00CA6C6D">
        <w:t xml:space="preserve">. Dersom det skal gjennomføres tilsyn i bygninger med definerte omsorgsboliger, forutsettes det at kommunestyret fastsetter lokal forskrift som gir hjemmelsgrunnlag og definerer innhold og omfang av tilsynet. Alternativt kan kommunestyret, vanligvis brannsjefen gjennom delegert myndighet, fatte enkeltvedtak om tilsyn i de enkelte omsorgsboliger. Direktoratet for </w:t>
      </w:r>
      <w:r w:rsidR="00E46B0C" w:rsidRPr="00CA6C6D">
        <w:t>samfunnssikkerhet</w:t>
      </w:r>
      <w:r w:rsidRPr="00CA6C6D">
        <w:t xml:space="preserve"> og beredskap anbefaler å bruke lokal forskrift.</w:t>
      </w:r>
    </w:p>
    <w:p w14:paraId="28A90BA9" w14:textId="00919CE6" w:rsidR="00D81EDE" w:rsidRDefault="00D81EDE" w:rsidP="00D81EDE">
      <w:r>
        <w:t>Videre har kommunen kommunale boliger</w:t>
      </w:r>
      <w:r w:rsidR="00E46B0C">
        <w:t>,</w:t>
      </w:r>
      <w:r>
        <w:t xml:space="preserve"> som de enten eier selv</w:t>
      </w:r>
      <w:r w:rsidR="00E46B0C">
        <w:t>,</w:t>
      </w:r>
      <w:r>
        <w:t xml:space="preserve"> eller hvor de leier plass, </w:t>
      </w:r>
      <w:r w:rsidR="00E46B0C">
        <w:t xml:space="preserve">og </w:t>
      </w:r>
      <w:r>
        <w:t xml:space="preserve">som ikke omfattes av «omsorgsbolig» begrepet. Disse boligene benyttes svært ofte av personer som av brannvesenet defineres som risikogrupper mht. brannfare. Dette kan både være personer med lav boevne, personer med lavere mobilitet og rus- og psykiatriproblematikk. Det er behov for å kunne føre tilsyn </w:t>
      </w:r>
      <w:r w:rsidR="00E46B0C">
        <w:t xml:space="preserve">både </w:t>
      </w:r>
      <w:r>
        <w:t xml:space="preserve">for å veilede samt forhindre branntilløp og minimere risiko for spredning. Behovet for tilsyn </w:t>
      </w:r>
      <w:r w:rsidR="00E46B0C">
        <w:t>hensyntar</w:t>
      </w:r>
      <w:r>
        <w:t xml:space="preserve"> </w:t>
      </w:r>
      <w:r w:rsidR="00E46B0C">
        <w:t xml:space="preserve">sikkerheten til den </w:t>
      </w:r>
      <w:r>
        <w:t>enkelte beboer, men også naboer fra brann.</w:t>
      </w:r>
    </w:p>
    <w:p w14:paraId="0E33713C" w14:textId="77777777" w:rsidR="00D81EDE" w:rsidRDefault="00D81EDE" w:rsidP="00D81EDE">
      <w:r>
        <w:t xml:space="preserve">Oppsummert er det kommunen vurdering at </w:t>
      </w:r>
      <w:proofErr w:type="spellStart"/>
      <w:r>
        <w:t>objektkategorien</w:t>
      </w:r>
      <w:proofErr w:type="spellEnd"/>
      <w:r>
        <w:t xml:space="preserve"> bør inntas i en lokal forskrift, slik at brannvesenets oppgave kan utføres på en hensiktsmessig måte.</w:t>
      </w:r>
    </w:p>
    <w:p w14:paraId="1C203D4F" w14:textId="77777777" w:rsidR="00D81EDE" w:rsidRDefault="00D81EDE" w:rsidP="00D81EDE"/>
    <w:p w14:paraId="1BDCBBB8" w14:textId="77777777" w:rsidR="00D81EDE" w:rsidRPr="00E46B0C" w:rsidRDefault="00D81EDE" w:rsidP="00E46B0C">
      <w:pPr>
        <w:ind w:left="708"/>
        <w:rPr>
          <w:u w:val="single"/>
        </w:rPr>
      </w:pPr>
      <w:r w:rsidRPr="00E46B0C">
        <w:rPr>
          <w:u w:val="single"/>
        </w:rPr>
        <w:t xml:space="preserve">3.3 </w:t>
      </w:r>
      <w:proofErr w:type="spellStart"/>
      <w:r w:rsidRPr="00E46B0C">
        <w:rPr>
          <w:u w:val="single"/>
        </w:rPr>
        <w:t>Objektkategori</w:t>
      </w:r>
      <w:proofErr w:type="spellEnd"/>
      <w:r w:rsidRPr="00E46B0C">
        <w:rPr>
          <w:u w:val="single"/>
        </w:rPr>
        <w:t xml:space="preserve"> 3 – mindre serveringssteder som benytter frityr, gass, grill eller andre koke- og steke innretninger som kan lede til økt brannrisiko</w:t>
      </w:r>
    </w:p>
    <w:p w14:paraId="22057F96" w14:textId="77777777" w:rsidR="00E46B0C" w:rsidRDefault="00E46B0C" w:rsidP="00D81EDE"/>
    <w:p w14:paraId="51539BBE" w14:textId="1E88E8FA" w:rsidR="00D81EDE" w:rsidRDefault="00D81EDE" w:rsidP="00D81EDE">
      <w:r>
        <w:t>Serveringssteder/hoteller/barer så som f. eks Maritim Fjordhotell, Grand Hotel, Hestens Bøn etc</w:t>
      </w:r>
      <w:r w:rsidR="00EE3EEB">
        <w:t>.</w:t>
      </w:r>
      <w:r>
        <w:t xml:space="preserve"> er i dag omfattet av brann- og eksplosjonsvernloven §  13, første ledd – dvs. at disse er av en slik størrelse at de automatisk anses som særskilt brannobjekt. Fra disse serveringsstedene ned mot f. eks gatekjøkken/matvogner/mindre serveringssteder/kaféer går det imidlertid en grense, og det er ønskelig å få en hjemmel til å også kunne føre tilsyn gjennom forskrift med disse.</w:t>
      </w:r>
    </w:p>
    <w:p w14:paraId="535C795F" w14:textId="66784B91" w:rsidR="00D81EDE" w:rsidRDefault="00D81EDE" w:rsidP="00D81EDE">
      <w:r>
        <w:t>Risikofaktorer er særlig knyttet til bruk av varme typisk i form av frityr og gass.  Hensynet til den enkeltes privatliv er svakere her ref. legalitetsprinsippet og proporsjonalitetsprinsippet, da det ikke er snakk om å gjøre tilsyn i bolig. De</w:t>
      </w:r>
      <w:r w:rsidR="00E46B0C">
        <w:t xml:space="preserve">nne </w:t>
      </w:r>
      <w:proofErr w:type="spellStart"/>
      <w:r w:rsidR="00E46B0C">
        <w:t>objektkategorien</w:t>
      </w:r>
      <w:proofErr w:type="spellEnd"/>
      <w:r>
        <w:t xml:space="preserve"> vil omfatte næringsvirksomheter.</w:t>
      </w:r>
    </w:p>
    <w:p w14:paraId="7ADFF973" w14:textId="77777777" w:rsidR="00D81EDE" w:rsidRDefault="00D81EDE" w:rsidP="00D81EDE"/>
    <w:p w14:paraId="7D719BB2" w14:textId="77777777" w:rsidR="00D81EDE" w:rsidRPr="00E46B0C" w:rsidRDefault="00D81EDE" w:rsidP="00D81EDE">
      <w:pPr>
        <w:pStyle w:val="Listeavsnitt"/>
        <w:numPr>
          <w:ilvl w:val="0"/>
          <w:numId w:val="1"/>
        </w:numPr>
        <w:spacing w:after="0" w:line="252" w:lineRule="auto"/>
        <w:rPr>
          <w:b/>
          <w:bCs/>
        </w:rPr>
      </w:pPr>
      <w:r w:rsidRPr="00E46B0C">
        <w:rPr>
          <w:b/>
          <w:bCs/>
        </w:rPr>
        <w:t xml:space="preserve">Andre vurderte </w:t>
      </w:r>
      <w:proofErr w:type="spellStart"/>
      <w:r w:rsidRPr="00E46B0C">
        <w:rPr>
          <w:b/>
          <w:bCs/>
        </w:rPr>
        <w:t>objektkategorier</w:t>
      </w:r>
      <w:proofErr w:type="spellEnd"/>
    </w:p>
    <w:p w14:paraId="0A6F03AA" w14:textId="77777777" w:rsidR="00D81EDE" w:rsidRDefault="00D81EDE" w:rsidP="00D81EDE"/>
    <w:p w14:paraId="5FEC37F2" w14:textId="23796BD2" w:rsidR="00D81EDE" w:rsidRDefault="00D81EDE" w:rsidP="00D81EDE">
      <w:r>
        <w:t xml:space="preserve">I arbeidet med forskriften har kommunen også vurdert en </w:t>
      </w:r>
      <w:proofErr w:type="spellStart"/>
      <w:r>
        <w:t>objektkategori</w:t>
      </w:r>
      <w:proofErr w:type="spellEnd"/>
      <w:r>
        <w:t xml:space="preserve"> «</w:t>
      </w:r>
      <w:r w:rsidRPr="00E46B0C">
        <w:rPr>
          <w:i/>
          <w:iCs/>
        </w:rPr>
        <w:t>boliger med 4 boenheter eller mer</w:t>
      </w:r>
      <w:r>
        <w:t xml:space="preserve">», </w:t>
      </w:r>
      <w:r w:rsidR="00E46B0C">
        <w:t>en kategori</w:t>
      </w:r>
      <w:r>
        <w:t xml:space="preserve"> som flere andre kommuner har inntatt i sine lokale forskrifter.</w:t>
      </w:r>
    </w:p>
    <w:p w14:paraId="042B18AF" w14:textId="4B3D60E7" w:rsidR="00D81EDE" w:rsidRDefault="00D81EDE" w:rsidP="00D81EDE">
      <w:r>
        <w:lastRenderedPageBreak/>
        <w:t xml:space="preserve">Erfaringen fra de større boligkompleksene i Flekkefjord er at det her er en god dialog mellom sameiene og Flekkefjord brann- og redningsvesen, og at </w:t>
      </w:r>
      <w:r w:rsidR="00E46B0C">
        <w:t>risiko</w:t>
      </w:r>
      <w:r>
        <w:t xml:space="preserve"> for brann håndteres tilfredsstillende gjennom felles dialog. Som eksempel neves at brannvesenet blir invitert av sameier til å gjennomføre øvelser, komme på sameiermøter etc. </w:t>
      </w:r>
    </w:p>
    <w:p w14:paraId="3BAA0F85" w14:textId="77777777" w:rsidR="00D81EDE" w:rsidRDefault="00D81EDE" w:rsidP="00D81EDE">
      <w:r>
        <w:t xml:space="preserve">For det tilfelle at det er boenheter som leies ut via kommunal tildeling, vil disse omfattes av </w:t>
      </w:r>
      <w:proofErr w:type="spellStart"/>
      <w:r>
        <w:t>objektkategori</w:t>
      </w:r>
      <w:proofErr w:type="spellEnd"/>
      <w:r>
        <w:t xml:space="preserve"> som inntatt over.</w:t>
      </w:r>
    </w:p>
    <w:p w14:paraId="687853E5" w14:textId="77777777" w:rsidR="00D81EDE" w:rsidRDefault="00D81EDE" w:rsidP="00D81EDE">
      <w:r>
        <w:t>Dersom det oppstår et behov for å føre tilsyn på en bestemt bopel, f. eks etter en bekymringsmelding, vil det fortsatt være mulig å føre tilsyn etter §  13, fjerde ledd første punktum, dvs. etter prosedyren for enkeltvedtak.</w:t>
      </w:r>
    </w:p>
    <w:p w14:paraId="455582F0" w14:textId="77777777" w:rsidR="00D81EDE" w:rsidRDefault="00D81EDE" w:rsidP="00D81EDE">
      <w:r>
        <w:t xml:space="preserve">Etter en interesseavveining er derfor kommunen kommet til at det ikke skal foreslås en egen </w:t>
      </w:r>
      <w:proofErr w:type="spellStart"/>
      <w:r>
        <w:t>objektkategori</w:t>
      </w:r>
      <w:proofErr w:type="spellEnd"/>
      <w:r>
        <w:t xml:space="preserve"> for «</w:t>
      </w:r>
      <w:r w:rsidRPr="00E46B0C">
        <w:rPr>
          <w:i/>
          <w:iCs/>
        </w:rPr>
        <w:t>bolig med 4 boenheter eller mer</w:t>
      </w:r>
      <w:r>
        <w:t>».</w:t>
      </w:r>
    </w:p>
    <w:p w14:paraId="440B3697" w14:textId="77777777" w:rsidR="00D81EDE" w:rsidRPr="00E46B0C" w:rsidRDefault="00D81EDE" w:rsidP="00D81EDE">
      <w:pPr>
        <w:rPr>
          <w:b/>
          <w:bCs/>
        </w:rPr>
      </w:pPr>
    </w:p>
    <w:p w14:paraId="7D3A0BBA" w14:textId="77777777" w:rsidR="00D81EDE" w:rsidRPr="00E46B0C" w:rsidRDefault="00D81EDE" w:rsidP="00D81EDE">
      <w:pPr>
        <w:pStyle w:val="Listeavsnitt"/>
        <w:numPr>
          <w:ilvl w:val="0"/>
          <w:numId w:val="1"/>
        </w:numPr>
        <w:spacing w:after="0" w:line="252" w:lineRule="auto"/>
        <w:rPr>
          <w:b/>
          <w:bCs/>
        </w:rPr>
      </w:pPr>
      <w:r w:rsidRPr="00E46B0C">
        <w:rPr>
          <w:b/>
          <w:bCs/>
        </w:rPr>
        <w:t>Gjennomføringen av tilsynet</w:t>
      </w:r>
    </w:p>
    <w:p w14:paraId="36E0ECB6" w14:textId="77777777" w:rsidR="00D81EDE" w:rsidRDefault="00D81EDE" w:rsidP="00D81EDE"/>
    <w:p w14:paraId="6DE5CB9F" w14:textId="77777777" w:rsidR="00D81EDE" w:rsidRDefault="00D81EDE" w:rsidP="00D81EDE">
      <w:r>
        <w:t>Tilsyn, basert på lokal forskrift, skal baseres på en særskilt risikovurdering for det enkelte objekt/</w:t>
      </w:r>
      <w:proofErr w:type="spellStart"/>
      <w:r>
        <w:t>objektkategori</w:t>
      </w:r>
      <w:proofErr w:type="spellEnd"/>
      <w:r>
        <w:t xml:space="preserve">.  Det betyr at det ikke nødvendigvis blir et fast </w:t>
      </w:r>
      <w:proofErr w:type="spellStart"/>
      <w:r>
        <w:t>interevall</w:t>
      </w:r>
      <w:proofErr w:type="spellEnd"/>
      <w:r>
        <w:t xml:space="preserve"> på tilsynene, men at hyppigheten tilpasses den enkelte kategori.</w:t>
      </w:r>
    </w:p>
    <w:p w14:paraId="4F86F512" w14:textId="77777777" w:rsidR="00D81EDE" w:rsidRDefault="00D81EDE" w:rsidP="00D81EDE"/>
    <w:p w14:paraId="0774A330" w14:textId="77777777" w:rsidR="00D81EDE" w:rsidRPr="00E46B0C" w:rsidRDefault="00D81EDE" w:rsidP="00D81EDE">
      <w:pPr>
        <w:pStyle w:val="Listeavsnitt"/>
        <w:numPr>
          <w:ilvl w:val="0"/>
          <w:numId w:val="1"/>
        </w:numPr>
        <w:spacing w:after="0" w:line="252" w:lineRule="auto"/>
        <w:rPr>
          <w:b/>
          <w:bCs/>
        </w:rPr>
      </w:pPr>
      <w:r w:rsidRPr="00E46B0C">
        <w:rPr>
          <w:b/>
          <w:bCs/>
        </w:rPr>
        <w:t>Myndighet</w:t>
      </w:r>
    </w:p>
    <w:p w14:paraId="20A50E47" w14:textId="77777777" w:rsidR="00D81EDE" w:rsidRDefault="00D81EDE" w:rsidP="00D81EDE"/>
    <w:p w14:paraId="77218937" w14:textId="77777777" w:rsidR="00D81EDE" w:rsidRDefault="00D81EDE" w:rsidP="00D81EDE">
      <w:r>
        <w:t>Det foreslås å delegere myndighet etter forskriften til leder av brannvesenet. Dette er i tråd med malen fra Direktoratet for samfunnssikkerhet og beredskap.</w:t>
      </w:r>
    </w:p>
    <w:p w14:paraId="5C99F180" w14:textId="77777777" w:rsidR="00D81EDE" w:rsidRDefault="00D81EDE" w:rsidP="00D81EDE"/>
    <w:p w14:paraId="18D29258" w14:textId="77777777" w:rsidR="00D81EDE" w:rsidRPr="00E46B0C" w:rsidRDefault="00D81EDE" w:rsidP="00D81EDE">
      <w:pPr>
        <w:pStyle w:val="Listeavsnitt"/>
        <w:numPr>
          <w:ilvl w:val="0"/>
          <w:numId w:val="1"/>
        </w:numPr>
        <w:spacing w:after="0" w:line="252" w:lineRule="auto"/>
        <w:rPr>
          <w:b/>
          <w:bCs/>
        </w:rPr>
      </w:pPr>
      <w:r w:rsidRPr="00E46B0C">
        <w:rPr>
          <w:b/>
          <w:bCs/>
        </w:rPr>
        <w:t>Pålegg</w:t>
      </w:r>
    </w:p>
    <w:p w14:paraId="61450173" w14:textId="77777777" w:rsidR="00D81EDE" w:rsidRDefault="00D81EDE" w:rsidP="00D81EDE"/>
    <w:p w14:paraId="2F557D8F" w14:textId="77777777" w:rsidR="00D81EDE" w:rsidRDefault="00D81EDE" w:rsidP="00D81EDE">
      <w:r>
        <w:t>Pålegg om retting eller gjennomføring av nødvendige sikringstiltak, fastsettes i tråd med brann- og eksplosjonsvernloven § 14.</w:t>
      </w:r>
    </w:p>
    <w:p w14:paraId="7DBE962F" w14:textId="77777777" w:rsidR="00D81EDE" w:rsidRDefault="00D81EDE" w:rsidP="00D81EDE"/>
    <w:p w14:paraId="139494F8" w14:textId="77777777" w:rsidR="00D81EDE" w:rsidRPr="00E46B0C" w:rsidRDefault="00D81EDE" w:rsidP="00D81EDE">
      <w:pPr>
        <w:pStyle w:val="Listeavsnitt"/>
        <w:numPr>
          <w:ilvl w:val="0"/>
          <w:numId w:val="1"/>
        </w:numPr>
        <w:spacing w:after="0" w:line="252" w:lineRule="auto"/>
        <w:rPr>
          <w:b/>
          <w:bCs/>
        </w:rPr>
      </w:pPr>
      <w:r w:rsidRPr="00E46B0C">
        <w:rPr>
          <w:b/>
          <w:bCs/>
        </w:rPr>
        <w:t>Klage</w:t>
      </w:r>
    </w:p>
    <w:p w14:paraId="4623A65D" w14:textId="77777777" w:rsidR="00D81EDE" w:rsidRDefault="00D81EDE" w:rsidP="00D81EDE"/>
    <w:p w14:paraId="60B2276F" w14:textId="77777777" w:rsidR="00D81EDE" w:rsidRDefault="00D81EDE" w:rsidP="00D81EDE">
      <w:r>
        <w:t>Klageadgangen følger brann- og eksplosjonsvernloven § 41</w:t>
      </w:r>
    </w:p>
    <w:p w14:paraId="6183806D" w14:textId="77777777" w:rsidR="00D81EDE" w:rsidRDefault="00D81EDE" w:rsidP="00D81EDE"/>
    <w:p w14:paraId="0CE2CC83" w14:textId="77777777" w:rsidR="00D81EDE" w:rsidRPr="00E46B0C" w:rsidRDefault="00D81EDE" w:rsidP="00D81EDE">
      <w:pPr>
        <w:pStyle w:val="Listeavsnitt"/>
        <w:numPr>
          <w:ilvl w:val="0"/>
          <w:numId w:val="1"/>
        </w:numPr>
        <w:spacing w:after="0" w:line="252" w:lineRule="auto"/>
        <w:rPr>
          <w:b/>
          <w:bCs/>
        </w:rPr>
      </w:pPr>
      <w:r w:rsidRPr="00E46B0C">
        <w:rPr>
          <w:b/>
          <w:bCs/>
        </w:rPr>
        <w:t>Ikrafttredelse</w:t>
      </w:r>
    </w:p>
    <w:p w14:paraId="73CC7B2E" w14:textId="77777777" w:rsidR="00D81EDE" w:rsidRDefault="00D81EDE" w:rsidP="00D81EDE"/>
    <w:p w14:paraId="069E7964" w14:textId="77777777" w:rsidR="00D81EDE" w:rsidRDefault="00D81EDE" w:rsidP="00D81EDE">
      <w:r>
        <w:t>Det foreslås at forskriften trer i kraft straks, det vil si fra det tidspunkt den er vedtatt av Flekkefjord Bystyre.</w:t>
      </w:r>
    </w:p>
    <w:p w14:paraId="08A3B78A" w14:textId="77777777" w:rsidR="00D81EDE" w:rsidRDefault="00D81EDE" w:rsidP="00D81EDE"/>
    <w:p w14:paraId="0BC4E42E" w14:textId="77777777" w:rsidR="00D81EDE" w:rsidRPr="00E46B0C" w:rsidRDefault="00D81EDE" w:rsidP="00D81EDE">
      <w:pPr>
        <w:pStyle w:val="Listeavsnitt"/>
        <w:numPr>
          <w:ilvl w:val="0"/>
          <w:numId w:val="1"/>
        </w:numPr>
        <w:spacing w:after="0" w:line="252" w:lineRule="auto"/>
        <w:rPr>
          <w:b/>
          <w:bCs/>
        </w:rPr>
      </w:pPr>
      <w:r w:rsidRPr="00E46B0C">
        <w:rPr>
          <w:b/>
          <w:bCs/>
        </w:rPr>
        <w:t>Høringsinnspill</w:t>
      </w:r>
    </w:p>
    <w:p w14:paraId="1B727149" w14:textId="77777777" w:rsidR="00D81EDE" w:rsidRDefault="00D81EDE" w:rsidP="00D81EDE"/>
    <w:p w14:paraId="4F0F0F20" w14:textId="49DA5284" w:rsidR="00D81EDE" w:rsidRDefault="00D81EDE" w:rsidP="00D81EDE">
      <w:r>
        <w:t xml:space="preserve">Høringsfristen er på </w:t>
      </w:r>
      <w:r w:rsidR="000A7E77">
        <w:t xml:space="preserve">8 uker </w:t>
      </w:r>
      <w:r>
        <w:t>fra publisering</w:t>
      </w:r>
      <w:r w:rsidR="000A7E77">
        <w:t xml:space="preserve"> – 15.07.2026</w:t>
      </w:r>
      <w:r>
        <w:t xml:space="preserve">. Høringsinnspill skal sendes til </w:t>
      </w:r>
      <w:hyperlink r:id="rId12" w:history="1">
        <w:r w:rsidRPr="00B51FBB">
          <w:rPr>
            <w:rStyle w:val="Hyperkobling"/>
          </w:rPr>
          <w:t>post@flekkefjord.kommune.no</w:t>
        </w:r>
      </w:hyperlink>
      <w:r>
        <w:t xml:space="preserve"> eller Flekkefjord kommune, Kirkegaten 50</w:t>
      </w:r>
      <w:r w:rsidR="000A7E77">
        <w:t xml:space="preserve">, </w:t>
      </w:r>
      <w:r>
        <w:t>4400 Flekkefjord.</w:t>
      </w:r>
    </w:p>
    <w:p w14:paraId="0FC42654" w14:textId="77777777" w:rsidR="00D81EDE" w:rsidRDefault="00D81EDE" w:rsidP="00D81EDE"/>
    <w:p w14:paraId="72FF26F9" w14:textId="26A97EE1" w:rsidR="00D81EDE" w:rsidRPr="00C14D11" w:rsidRDefault="00D81EDE" w:rsidP="00D81EDE">
      <w:r>
        <w:t>Høringsinnspill merkes med saks nr. 26/00927</w:t>
      </w:r>
    </w:p>
    <w:p w14:paraId="1411909A" w14:textId="77777777" w:rsidR="00D81EDE" w:rsidRDefault="00D81EDE"/>
    <w:p w14:paraId="0D23E7CD" w14:textId="77777777" w:rsidR="00D81EDE" w:rsidRDefault="00D81EDE"/>
    <w:p w14:paraId="19634521" w14:textId="77777777" w:rsidR="00D81EDE" w:rsidRDefault="00D81EDE"/>
    <w:sectPr w:rsidR="00D81ED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ADF6" w14:textId="77777777" w:rsidR="006C4A13" w:rsidRDefault="006C4A13" w:rsidP="00D81EDE">
      <w:pPr>
        <w:spacing w:after="0" w:line="240" w:lineRule="auto"/>
      </w:pPr>
      <w:r>
        <w:separator/>
      </w:r>
    </w:p>
  </w:endnote>
  <w:endnote w:type="continuationSeparator" w:id="0">
    <w:p w14:paraId="4CA1E873" w14:textId="77777777" w:rsidR="006C4A13" w:rsidRDefault="006C4A13" w:rsidP="00D8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ED3B" w14:textId="2F53A8B9" w:rsidR="00D81EDE" w:rsidRDefault="00D81EDE">
    <w:pPr>
      <w:pStyle w:val="Bunntekst"/>
    </w:pPr>
    <w:r>
      <w:t>Flekkefjord kommune</w:t>
    </w:r>
    <w:r>
      <w:ptab w:relativeTo="margin" w:alignment="center" w:leader="none"/>
    </w:r>
    <w:r>
      <w:t>Dok.nr. 26-00927-1</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979F" w14:textId="77777777" w:rsidR="006C4A13" w:rsidRDefault="006C4A13" w:rsidP="00D81EDE">
      <w:pPr>
        <w:spacing w:after="0" w:line="240" w:lineRule="auto"/>
      </w:pPr>
      <w:r>
        <w:separator/>
      </w:r>
    </w:p>
  </w:footnote>
  <w:footnote w:type="continuationSeparator" w:id="0">
    <w:p w14:paraId="7DF274DF" w14:textId="77777777" w:rsidR="006C4A13" w:rsidRDefault="006C4A13" w:rsidP="00D81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A69"/>
    <w:multiLevelType w:val="hybridMultilevel"/>
    <w:tmpl w:val="A5E27562"/>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0931936"/>
    <w:multiLevelType w:val="multilevel"/>
    <w:tmpl w:val="042078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03851124">
    <w:abstractNumId w:val="1"/>
  </w:num>
  <w:num w:numId="2" w16cid:durableId="210915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DE"/>
    <w:rsid w:val="000A036B"/>
    <w:rsid w:val="000A7E77"/>
    <w:rsid w:val="000B6ADF"/>
    <w:rsid w:val="001C72F7"/>
    <w:rsid w:val="00610F8D"/>
    <w:rsid w:val="006C4A13"/>
    <w:rsid w:val="009113A7"/>
    <w:rsid w:val="00AA679E"/>
    <w:rsid w:val="00AC128E"/>
    <w:rsid w:val="00B830F1"/>
    <w:rsid w:val="00D11865"/>
    <w:rsid w:val="00D81EDE"/>
    <w:rsid w:val="00DC6277"/>
    <w:rsid w:val="00E46B0C"/>
    <w:rsid w:val="00EE3EEB"/>
    <w:rsid w:val="00FC17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CE47B"/>
  <w15:chartTrackingRefBased/>
  <w15:docId w15:val="{E85ABB06-2E74-4980-9067-DE101404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81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81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81ED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81ED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81ED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81ED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81ED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81ED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81ED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81ED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81ED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81ED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81ED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81ED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81ED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81ED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81ED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81EDE"/>
    <w:rPr>
      <w:rFonts w:eastAsiaTheme="majorEastAsia" w:cstheme="majorBidi"/>
      <w:color w:val="272727" w:themeColor="text1" w:themeTint="D8"/>
    </w:rPr>
  </w:style>
  <w:style w:type="paragraph" w:styleId="Tittel">
    <w:name w:val="Title"/>
    <w:basedOn w:val="Normal"/>
    <w:next w:val="Normal"/>
    <w:link w:val="TittelTegn"/>
    <w:uiPriority w:val="10"/>
    <w:qFormat/>
    <w:rsid w:val="00D81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81ED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81ED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81ED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81ED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81EDE"/>
    <w:rPr>
      <w:i/>
      <w:iCs/>
      <w:color w:val="404040" w:themeColor="text1" w:themeTint="BF"/>
    </w:rPr>
  </w:style>
  <w:style w:type="paragraph" w:styleId="Listeavsnitt">
    <w:name w:val="List Paragraph"/>
    <w:basedOn w:val="Normal"/>
    <w:uiPriority w:val="34"/>
    <w:qFormat/>
    <w:rsid w:val="00D81EDE"/>
    <w:pPr>
      <w:ind w:left="720"/>
      <w:contextualSpacing/>
    </w:pPr>
  </w:style>
  <w:style w:type="character" w:styleId="Sterkutheving">
    <w:name w:val="Intense Emphasis"/>
    <w:basedOn w:val="Standardskriftforavsnitt"/>
    <w:uiPriority w:val="21"/>
    <w:qFormat/>
    <w:rsid w:val="00D81EDE"/>
    <w:rPr>
      <w:i/>
      <w:iCs/>
      <w:color w:val="0F4761" w:themeColor="accent1" w:themeShade="BF"/>
    </w:rPr>
  </w:style>
  <w:style w:type="paragraph" w:styleId="Sterktsitat">
    <w:name w:val="Intense Quote"/>
    <w:basedOn w:val="Normal"/>
    <w:next w:val="Normal"/>
    <w:link w:val="SterktsitatTegn"/>
    <w:uiPriority w:val="30"/>
    <w:qFormat/>
    <w:rsid w:val="00D81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81EDE"/>
    <w:rPr>
      <w:i/>
      <w:iCs/>
      <w:color w:val="0F4761" w:themeColor="accent1" w:themeShade="BF"/>
    </w:rPr>
  </w:style>
  <w:style w:type="character" w:styleId="Sterkreferanse">
    <w:name w:val="Intense Reference"/>
    <w:basedOn w:val="Standardskriftforavsnitt"/>
    <w:uiPriority w:val="32"/>
    <w:qFormat/>
    <w:rsid w:val="00D81EDE"/>
    <w:rPr>
      <w:b/>
      <w:bCs/>
      <w:smallCaps/>
      <w:color w:val="0F4761" w:themeColor="accent1" w:themeShade="BF"/>
      <w:spacing w:val="5"/>
    </w:rPr>
  </w:style>
  <w:style w:type="character" w:styleId="Hyperkobling">
    <w:name w:val="Hyperlink"/>
    <w:basedOn w:val="Standardskriftforavsnitt"/>
    <w:uiPriority w:val="99"/>
    <w:unhideWhenUsed/>
    <w:rsid w:val="00D81EDE"/>
    <w:rPr>
      <w:color w:val="467886" w:themeColor="hyperlink"/>
      <w:u w:val="single"/>
    </w:rPr>
  </w:style>
  <w:style w:type="paragraph" w:styleId="Topptekst">
    <w:name w:val="header"/>
    <w:basedOn w:val="Normal"/>
    <w:link w:val="TopptekstTegn"/>
    <w:uiPriority w:val="99"/>
    <w:unhideWhenUsed/>
    <w:rsid w:val="00D81ED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81EDE"/>
  </w:style>
  <w:style w:type="paragraph" w:styleId="Bunntekst">
    <w:name w:val="footer"/>
    <w:basedOn w:val="Normal"/>
    <w:link w:val="BunntekstTegn"/>
    <w:uiPriority w:val="99"/>
    <w:unhideWhenUsed/>
    <w:rsid w:val="00D81ED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81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idika.no/lover-og-lovkommentarer/lov-2002-06-14-20/kapittel-3/paragraf-13"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ost@flekkefjord.kommune.no"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ridika.no/"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juridika.no/lover-og-lovkommentarer/lov-2002-06-14-20/kapittel-3/paragraf-13"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juridika.no/"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A9CD8121814973B10ED6C40AB3B0DC"/>
        <w:category>
          <w:name w:val="Generelt"/>
          <w:gallery w:val="placeholder"/>
        </w:category>
        <w:types>
          <w:type w:val="bbPlcHdr"/>
        </w:types>
        <w:behaviors>
          <w:behavior w:val="content"/>
        </w:behaviors>
        <w:guid w:val="{2E9C89A2-21B6-4132-9220-370A12F01D6B}"/>
      </w:docPartPr>
      <w:docPartBody>
        <w:p w:rsidR="00783A0B" w:rsidRDefault="003A14C1" w:rsidP="003A14C1">
          <w:pPr>
            <w:pStyle w:val="CAA9CD8121814973B10ED6C40AB3B0DC"/>
          </w:pPr>
          <w:r w:rsidRPr="0091118E">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C1"/>
    <w:rsid w:val="002A7A43"/>
    <w:rsid w:val="003A14C1"/>
    <w:rsid w:val="003C763B"/>
    <w:rsid w:val="006254E1"/>
    <w:rsid w:val="00783A0B"/>
    <w:rsid w:val="00AA679E"/>
    <w:rsid w:val="00B830F1"/>
    <w:rsid w:val="00DA41AB"/>
    <w:rsid w:val="00DC6277"/>
    <w:rsid w:val="00FC17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A14C1"/>
    <w:rPr>
      <w:color w:val="808080"/>
    </w:rPr>
  </w:style>
  <w:style w:type="paragraph" w:customStyle="1" w:styleId="CAA9CD8121814973B10ED6C40AB3B0DC">
    <w:name w:val="CAA9CD8121814973B10ED6C40AB3B0DC"/>
    <w:rsid w:val="003A1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35A51202C3B744B08DE45B7290EB6F" ma:contentTypeVersion="13" ma:contentTypeDescription="Opprett et nytt dokument." ma:contentTypeScope="" ma:versionID="7e4c5d65faebac7188a9b196911cc1a4">
  <xsd:schema xmlns:xsd="http://www.w3.org/2001/XMLSchema" xmlns:xs="http://www.w3.org/2001/XMLSchema" xmlns:p="http://schemas.microsoft.com/office/2006/metadata/properties" xmlns:ns2="b022e265-cd45-4e90-b022-c3a40639beac" xmlns:ns3="f78ff5eb-37a6-432f-af13-ab9c18e78b6b" targetNamespace="http://schemas.microsoft.com/office/2006/metadata/properties" ma:root="true" ma:fieldsID="de059f5c8220b68177b0cb578a009718" ns2:_="" ns3:_="">
    <xsd:import namespace="b022e265-cd45-4e90-b022-c3a40639beac"/>
    <xsd:import namespace="f78ff5eb-37a6-432f-af13-ab9c18e78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2e265-cd45-4e90-b022-c3a40639b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ff5eb-37a6-432f-af13-ab9c18e78b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4363df-f0bb-402e-af10-9ac1152a6710}" ma:internalName="TaxCatchAll" ma:showField="CatchAllData" ma:web="f78ff5eb-37a6-432f-af13-ab9c18e78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8ff5eb-37a6-432f-af13-ab9c18e78b6b" xsi:nil="true"/>
    <lcf76f155ced4ddcb4097134ff3c332f xmlns="b022e265-cd45-4e90-b022-c3a40639be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AE009-F557-4B06-87BC-04AF563A5560}"/>
</file>

<file path=customXml/itemProps2.xml><?xml version="1.0" encoding="utf-8"?>
<ds:datastoreItem xmlns:ds="http://schemas.openxmlformats.org/officeDocument/2006/customXml" ds:itemID="{5DA3B0F4-3EC7-4340-9DF4-19E35DF58E83}"/>
</file>

<file path=customXml/itemProps3.xml><?xml version="1.0" encoding="utf-8"?>
<ds:datastoreItem xmlns:ds="http://schemas.openxmlformats.org/officeDocument/2006/customXml" ds:itemID="{D7922765-BD3C-44BE-A875-BFD35EF51F88}"/>
</file>

<file path=docProps/app.xml><?xml version="1.0" encoding="utf-8"?>
<ap:Properties xmlns:vt="http://schemas.openxmlformats.org/officeDocument/2006/docPropsVTypes" xmlns:ap="http://schemas.openxmlformats.org/officeDocument/2006/extended-properties">
  <ap:Template>Normal.dotm</ap:Template>
  <ap:TotalTime>69</ap:TotalTime>
  <ap:Pages>8</ap:Pages>
  <ap:Words>2322</ap:Words>
  <ap:Characters>12307</ap:Characters>
  <ap:Application>Microsoft Office Word</ap:Application>
  <ap:DocSecurity>0</ap:DocSecurity>
  <ap:Lines>102</ap:Lines>
  <ap:Paragraphs>29</ap:Paragraphs>
  <ap:ScaleCrop>false</ap:ScaleCrop>
  <ap:HeadingPairs>
    <vt:vector baseType="variant" size="2">
      <vt:variant>
        <vt:lpstr>Tittel</vt:lpstr>
      </vt:variant>
      <vt:variant>
        <vt:i4>1</vt:i4>
      </vt:variant>
    </vt:vector>
  </ap:HeadingPairs>
  <ap:TitlesOfParts>
    <vt:vector baseType="lpstr" size="1">
      <vt:lpstr/>
    </vt:vector>
  </ap:TitlesOfParts>
  <ap:Company>Det Digitale Vestre Agder DDV</ap:Company>
  <ap:LinksUpToDate>false</ap:LinksUpToDate>
  <ap:CharactersWithSpaces>14600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 Halvorsen Egeland</dc:creator>
  <cp:keywords/>
  <dc:description/>
  <cp:lastModifiedBy>Antonie Halvorsen Egeland</cp:lastModifiedBy>
  <cp:revision>4</cp:revision>
  <dcterms:created xsi:type="dcterms:W3CDTF">2026-04-27T08:06:00Z</dcterms:created>
  <dcterms:modified xsi:type="dcterms:W3CDTF">2026-05-19T10:21:00Z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0x0101005B35A51202C3B744B08DE45B7290EB6F</vt:lpwstr>
  </property>
</Properties>
</file>